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139"/>
        </w:tabs>
        <w:snapToGrid w:val="0"/>
        <w:spacing w:line="360" w:lineRule="auto"/>
        <w:jc w:val="center"/>
        <w:rPr>
          <w:rFonts w:hAnsi="宋体" w:eastAsia="黑体" w:cs="宋体"/>
          <w:b/>
          <w:sz w:val="44"/>
          <w:szCs w:val="44"/>
        </w:rPr>
      </w:pPr>
      <w:r>
        <w:rPr>
          <w:rFonts w:hAnsi="宋体" w:eastAsia="黑体" w:cs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12369800</wp:posOffset>
            </wp:positionV>
            <wp:extent cx="342900" cy="3429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宋体" w:eastAsia="黑体" w:cs="宋体"/>
          <w:b/>
          <w:sz w:val="44"/>
          <w:szCs w:val="44"/>
        </w:rPr>
        <w:t>阶段综合检测</w:t>
      </w:r>
      <w:r>
        <w:rPr>
          <w:rFonts w:hAnsi="宋体" w:cs="宋体"/>
          <w:b/>
          <w:sz w:val="44"/>
          <w:szCs w:val="44"/>
        </w:rPr>
        <w:t>(</w:t>
      </w:r>
      <w:r>
        <w:rPr>
          <w:rFonts w:hAnsi="宋体" w:eastAsia="黑体" w:cs="宋体"/>
          <w:b/>
          <w:sz w:val="44"/>
          <w:szCs w:val="44"/>
        </w:rPr>
        <w:t>三</w:t>
      </w:r>
      <w:r>
        <w:rPr>
          <w:rFonts w:hAnsi="宋体" w:cs="宋体"/>
          <w:b/>
          <w:sz w:val="44"/>
          <w:szCs w:val="44"/>
        </w:rPr>
        <w:t>)</w:t>
      </w:r>
      <w:r>
        <w:rPr>
          <w:rFonts w:hAnsi="宋体" w:eastAsia="黑体" w:cs="宋体"/>
          <w:b/>
          <w:sz w:val="44"/>
          <w:szCs w:val="44"/>
        </w:rPr>
        <w:t>　</w:t>
      </w:r>
    </w:p>
    <w:p>
      <w:pPr>
        <w:pStyle w:val="2"/>
        <w:tabs>
          <w:tab w:val="left" w:pos="4139"/>
        </w:tabs>
        <w:snapToGrid w:val="0"/>
        <w:spacing w:line="360" w:lineRule="auto"/>
        <w:jc w:val="center"/>
        <w:rPr>
          <w:rFonts w:hint="eastAsia" w:hAnsi="宋体" w:cs="MingLiU_HKSCS"/>
          <w:b/>
          <w:sz w:val="32"/>
          <w:szCs w:val="32"/>
        </w:rPr>
      </w:pPr>
      <w:r>
        <w:rPr>
          <w:rFonts w:hAnsi="宋体" w:eastAsia="楷体_GB2312" w:cs="宋体"/>
          <w:b/>
          <w:sz w:val="32"/>
          <w:szCs w:val="32"/>
        </w:rPr>
        <w:t>中华文明的辉煌与危机——明、清前期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一、选择题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·山东泰安检测</w:t>
      </w:r>
      <w:r>
        <w:rPr>
          <w:rFonts w:hAnsi="宋体" w:cs="宋体"/>
          <w:b/>
          <w:sz w:val="24"/>
        </w:rPr>
        <w:t>)下面是某学者综合考虑“社会稳定”“经济业绩”“科技进步”“思想发展”和“疆域变化”等因素绘成的《中国历代兴衰图》(局部)。以下对①②③④各朝代在图中高点处的特点描述正确的是(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center"/>
        <w:rPr>
          <w:rFonts w:hint="eastAsia" w:hAnsi="宋体" w:cs="宋体"/>
          <w:b/>
          <w:sz w:val="24"/>
        </w:rPr>
      </w:pPr>
      <w:r>
        <w:rPr>
          <w:rFonts w:hAnsi="宋体" w:cs="宋体"/>
          <w:b/>
          <w:sz w:val="24"/>
        </w:rPr>
        <w:pict>
          <v:shape id="_x0000_i1025" o:spt="75" alt="2022YLXTS-233.TIF" type="#_x0000_t75" style="height:78.25pt;width:226.8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宋体"/>
          <w:b/>
          <w:sz w:val="24"/>
        </w:rPr>
        <w:t>．①</w:t>
      </w:r>
      <w:r>
        <w:rPr>
          <w:rFonts w:hAnsi="宋体" w:cs="宋体"/>
          <w:b/>
          <w:sz w:val="24"/>
        </w:rPr>
        <w:t>社</w:t>
      </w:r>
      <w:r>
        <w:rPr>
          <w:rFonts w:hint="eastAsia" w:hAnsi="宋体" w:cs="宋体"/>
          <w:b/>
          <w:sz w:val="24"/>
        </w:rPr>
        <w:t>会稳定、思想发展、疆域广阔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②科技落后、经济发展、疆域广阔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int="eastAsia" w:hAnsi="宋体" w:cs="宋体"/>
          <w:b/>
          <w:sz w:val="24"/>
        </w:rPr>
        <w:t>③</w:t>
      </w:r>
      <w:r>
        <w:rPr>
          <w:rFonts w:hAnsi="宋体" w:cs="宋体"/>
          <w:b/>
          <w:sz w:val="24"/>
        </w:rPr>
        <w:t>社会动荡、思想停滞、科技落后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int="eastAsia" w:hAnsi="宋体" w:cs="宋体"/>
          <w:b/>
          <w:sz w:val="24"/>
        </w:rPr>
        <w:t>④</w:t>
      </w:r>
      <w:r>
        <w:rPr>
          <w:rFonts w:hAnsi="宋体" w:cs="宋体"/>
          <w:b/>
          <w:sz w:val="24"/>
        </w:rPr>
        <w:t>社会稳定、经济停滞、思想活跃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·辽宁沈阳五校联考</w:t>
      </w:r>
      <w:r>
        <w:rPr>
          <w:rFonts w:hAnsi="宋体" w:cs="宋体"/>
          <w:b/>
          <w:sz w:val="24"/>
        </w:rPr>
        <w:t>)《大明会典》记载：在京官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初入仕者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且令试职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一年后考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堪用者与实授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即正式任命；不堪用者降黜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量才录用。据此可知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这一规定(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扩大官员晋升途径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完善考试录用程序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int="eastAsia" w:hAnsi="宋体" w:cs="宋体"/>
          <w:b/>
          <w:sz w:val="24"/>
        </w:rPr>
        <w:t>强化君主专制权力</w:t>
      </w:r>
      <w:r>
        <w:rPr>
          <w:rFonts w:hAnsi="宋体" w:cs="宋体"/>
          <w:b/>
          <w:sz w:val="24"/>
        </w:rPr>
        <w:t xml:space="preserve">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优化官员岗位配置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·辽宁辽阳期末</w:t>
      </w:r>
      <w:r>
        <w:rPr>
          <w:rFonts w:hAnsi="宋体" w:cs="宋体"/>
          <w:b/>
          <w:sz w:val="24"/>
        </w:rPr>
        <w:t>)明代“命京官巡抚地方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有军事则命总督军务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因事而设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事已旋罢”。清朝将督抚制逐步纳入正式的地方行政体制中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督抚成为“封疆大吏”。明清督抚制的设立(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扩大了地方行政权力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导致“冗官”局面的出现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有利于地方事权的统一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缓解了中央与地方的矛盾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·天津河北区质检</w:t>
      </w:r>
      <w:r>
        <w:rPr>
          <w:rFonts w:hAnsi="宋体" w:cs="宋体"/>
          <w:b/>
          <w:sz w:val="24"/>
        </w:rPr>
        <w:t>)下图反映了清朝权力中心的变化。这种变化最能说明的问题是(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center"/>
        <w:rPr>
          <w:rFonts w:hint="eastAsia" w:hAnsi="宋体" w:cs="宋体"/>
          <w:b/>
          <w:sz w:val="24"/>
        </w:rPr>
      </w:pPr>
      <w:r>
        <w:rPr>
          <w:rFonts w:hAnsi="宋体" w:cs="宋体"/>
          <w:b/>
          <w:sz w:val="24"/>
        </w:rPr>
        <w:pict>
          <v:shape id="_x0000_i1026" o:spt="75" alt="2022YLXTS-234.TIF" type="#_x0000_t75" style="height:39.7pt;width:220.55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宋体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皇帝逐渐倾向于任人唯亲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君主专制不断得到强化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清朝议政范围逐渐扩大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统治阶级内部权力更迭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·福建南平质检</w:t>
      </w:r>
      <w:r>
        <w:rPr>
          <w:rFonts w:hAnsi="宋体" w:cs="宋体"/>
          <w:b/>
          <w:sz w:val="24"/>
        </w:rPr>
        <w:t>)清朝入关后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抛弃了明朝乡约中的乡村自治内容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改以宣讲“孝敬父母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恭敬长上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和睦乡里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教训子孙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各安生理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勿作非为”的《圣谕六训》为主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到康熙年间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又发展到宣讲“圣谕十六条”。清廷此举旨在(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加强对基层社会的控制　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强化地方宗族制度的基础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促进儒家伦理道德传播　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发挥乡约共励风化的功能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>
        <w:rPr>
          <w:rFonts w:hint="eastAsia" w:hAnsi="宋体" w:cs="MingLiU_HKSCS"/>
          <w:b/>
          <w:sz w:val="24"/>
        </w:rPr>
        <w:t>．</w:t>
      </w:r>
      <w:r>
        <w:rPr>
          <w:rFonts w:hint="eastAsia"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·山东潍坊模拟</w:t>
      </w:r>
      <w:r>
        <w:rPr>
          <w:rFonts w:hAnsi="宋体" w:cs="宋体"/>
          <w:b/>
          <w:sz w:val="24"/>
        </w:rPr>
        <w:t>)明中叶以后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江南市镇及其四乡农家因忙于蚕桑丝织业而无暇顾及农田耕作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不得不雇佣临近的农民来耕种。这一现象表明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该地(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产生了资本主义萌芽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丝织业成为农民主要副业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传统经济结构受冲击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粮食产品商品化趋势加快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·山东菏泽期中</w:t>
      </w:r>
      <w:r>
        <w:rPr>
          <w:rFonts w:hAnsi="宋体" w:cs="宋体"/>
          <w:b/>
          <w:sz w:val="24"/>
        </w:rPr>
        <w:t>)明朝户籍册以里甲制为基础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每里一册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详列各户人口、田土、房屋。清前期实行固定丁银、摊丁入亩后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户籍作用大为削弱。古代实行严格户籍制度的目的是(</w:t>
      </w:r>
      <w:r>
        <w:rPr>
          <w:rFonts w:hint="eastAsia" w:hAnsi="宋体" w:cs="宋体"/>
          <w:b/>
          <w:sz w:val="24"/>
        </w:rPr>
        <w:t>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加强基层管理　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控制人口流动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保证赋役征收　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限制土地兼并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·山东济南模拟</w:t>
      </w:r>
      <w:r>
        <w:rPr>
          <w:rFonts w:hAnsi="宋体" w:cs="宋体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>1523</w:t>
      </w:r>
      <w:r>
        <w:rPr>
          <w:rFonts w:hAnsi="宋体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李梦阳在为商人王现所作的《明故王文显墓志铭》中写道：“夫商与士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异术而同心。”</w:t>
      </w:r>
      <w:r>
        <w:rPr>
          <w:rFonts w:ascii="Times New Roman" w:hAnsi="Times New Roman" w:cs="Times New Roman"/>
          <w:b/>
          <w:sz w:val="24"/>
        </w:rPr>
        <w:t>1525</w:t>
      </w:r>
      <w:r>
        <w:rPr>
          <w:rFonts w:hAnsi="宋体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王阳明在为商人方麟所写的《节菴方公墓表》中说道：“古者四民异业而同道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其尽心焉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一也。”这表明当时(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重农抑商政</w:t>
      </w:r>
      <w:r>
        <w:rPr>
          <w:rFonts w:hint="eastAsia" w:hAnsi="宋体" w:cs="宋体"/>
          <w:b/>
          <w:sz w:val="24"/>
        </w:rPr>
        <w:t>策动摇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商人地位日益提高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社会奢靡之风盛行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抑商观念受到冲击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·山东德州期末</w:t>
      </w:r>
      <w:r>
        <w:rPr>
          <w:rFonts w:hAnsi="宋体" w:cs="宋体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>1593</w:t>
      </w:r>
      <w:r>
        <w:rPr>
          <w:rFonts w:hAnsi="宋体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倭寇侵犯朝鲜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福建因而禁止通贩海上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但一些人借买谷捕鱼之引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远出海外贸易。中丞许孚远“移檄招谕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凡留贩人船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不论从前有引无引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日远日近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俱许驾回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诣官输饷如故事。凡私通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及压多(指越冬不归)情罪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一切宥免”。许孚远的做法(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旨在扩大海外贸易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终结了海禁政策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具有一定</w:t>
      </w:r>
      <w:r>
        <w:rPr>
          <w:rFonts w:hint="eastAsia" w:hAnsi="宋体" w:cs="宋体"/>
          <w:b/>
          <w:sz w:val="24"/>
        </w:rPr>
        <w:t>的开明性</w:t>
      </w:r>
      <w:r>
        <w:rPr>
          <w:rFonts w:hAnsi="宋体" w:cs="宋体"/>
          <w:b/>
          <w:sz w:val="24"/>
        </w:rPr>
        <w:t xml:space="preserve">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加剧了局势动荡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·辽宁丹东质检</w:t>
      </w:r>
      <w:r>
        <w:rPr>
          <w:rFonts w:hAnsi="宋体" w:cs="宋体"/>
          <w:b/>
          <w:sz w:val="24"/>
        </w:rPr>
        <w:t>)康熙二十六年(</w:t>
      </w:r>
      <w:r>
        <w:rPr>
          <w:rFonts w:ascii="Times New Roman" w:hAnsi="Times New Roman" w:cs="Times New Roman"/>
          <w:b/>
          <w:sz w:val="24"/>
        </w:rPr>
        <w:t>1687</w:t>
      </w:r>
      <w:r>
        <w:rPr>
          <w:rFonts w:hAnsi="宋体" w:cs="宋体"/>
          <w:b/>
          <w:sz w:val="24"/>
        </w:rPr>
        <w:t>年)确立起“催科四法”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要求每年征发赋役之时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每五户或十户为一单位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将每户田亩数、银米数、应完份数和限期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开列其上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一联三票(分交州县存档、差役应比和税户执有)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发给甲首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挨次催缴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官吏不得插手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令自封投柜。“催科四法”的颁行(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增加了基层赋役征收管理的成本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有利于遏制民间土地户口隐匿现象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开户籍管理和赋役征收结合先河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规范了基层赋役征收的原则和程序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</w:t>
      </w:r>
      <w:r>
        <w:rPr>
          <w:rFonts w:hint="eastAsia" w:hAnsi="宋体" w:cs="MingLiU_HKSCS"/>
          <w:b/>
          <w:sz w:val="24"/>
        </w:rPr>
        <w:t>．</w:t>
      </w:r>
      <w:r>
        <w:rPr>
          <w:rFonts w:hint="eastAsia"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·天津南开区模拟</w:t>
      </w:r>
      <w:r>
        <w:rPr>
          <w:rFonts w:hAnsi="宋体" w:cs="宋体"/>
          <w:b/>
          <w:sz w:val="24"/>
        </w:rPr>
        <w:t>)下表为古代中国关于“西方”名称变迁的主要历程。“西方”名称变迁主要反映了(　　)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6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名称</w:t>
            </w:r>
          </w:p>
        </w:tc>
        <w:tc>
          <w:tcPr>
            <w:tcW w:w="387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主要范围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汉唐时期的</w:t>
            </w:r>
            <w:r>
              <w:rPr>
                <w:rFonts w:hint="eastAsia" w:hAnsi="宋体" w:cs="宋体"/>
                <w:b/>
                <w:sz w:val="24"/>
              </w:rPr>
              <w:t>“</w:t>
            </w:r>
            <w:r>
              <w:rPr>
                <w:rFonts w:hAnsi="宋体" w:cs="宋体"/>
                <w:b/>
                <w:sz w:val="24"/>
              </w:rPr>
              <w:t>西域”</w:t>
            </w:r>
          </w:p>
        </w:tc>
        <w:tc>
          <w:tcPr>
            <w:tcW w:w="387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广义上泛指玉门关、阳关以西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狭义上主要指塔里木盆地及其周围地区。唐宋时期曾用“西天”指称更为遥远的印度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宋明时期的</w:t>
            </w:r>
            <w:r>
              <w:rPr>
                <w:rFonts w:hint="eastAsia" w:hAnsi="宋体" w:cs="宋体"/>
                <w:b/>
                <w:sz w:val="24"/>
              </w:rPr>
              <w:t>“</w:t>
            </w:r>
            <w:r>
              <w:rPr>
                <w:rFonts w:hAnsi="宋体" w:cs="宋体"/>
                <w:b/>
                <w:sz w:val="24"/>
              </w:rPr>
              <w:t>西洋”</w:t>
            </w:r>
          </w:p>
        </w:tc>
        <w:tc>
          <w:tcPr>
            <w:tcW w:w="387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最早见于五代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元代广为流布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明代特指东南亚、西亚、东非或印度洋周围国家；明末以后逐渐转</w:t>
            </w:r>
            <w:r>
              <w:rPr>
                <w:rFonts w:hint="eastAsia" w:hAnsi="宋体" w:cs="宋体"/>
                <w:b/>
                <w:sz w:val="24"/>
              </w:rPr>
              <w:t>向专指欧洲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8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明末清初的</w:t>
            </w:r>
            <w:r>
              <w:rPr>
                <w:rFonts w:hint="eastAsia" w:hAnsi="宋体" w:cs="宋体"/>
                <w:b/>
                <w:sz w:val="24"/>
              </w:rPr>
              <w:t>“</w:t>
            </w:r>
            <w:r>
              <w:rPr>
                <w:rFonts w:hAnsi="宋体" w:cs="宋体"/>
                <w:b/>
                <w:sz w:val="24"/>
              </w:rPr>
              <w:t>西方”</w:t>
            </w:r>
          </w:p>
        </w:tc>
        <w:tc>
          <w:tcPr>
            <w:tcW w:w="387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与“泰西”“太西”“极西”“远西”等同义词广泛流行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指称欧洲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Ansi="宋体" w:cs="宋体"/>
          <w:b/>
          <w:sz w:val="24"/>
        </w:rPr>
        <w:t>．中外交流的日益扩大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丝绸之路贸易繁荣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思想观念的不断变化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农耕文明走向衰落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·广东惠州模拟</w:t>
      </w:r>
      <w:r>
        <w:rPr>
          <w:rFonts w:hAnsi="宋体" w:cs="宋体"/>
          <w:b/>
          <w:sz w:val="24"/>
        </w:rPr>
        <w:t>)郑成功</w:t>
      </w:r>
      <w:r>
        <w:rPr>
          <w:rFonts w:ascii="Times New Roman" w:hAnsi="Times New Roman" w:cs="Times New Roman"/>
          <w:b/>
          <w:sz w:val="24"/>
        </w:rPr>
        <w:t>1661</w:t>
      </w:r>
      <w:r>
        <w:rPr>
          <w:rFonts w:hAnsi="宋体" w:cs="宋体"/>
          <w:b/>
          <w:sz w:val="24"/>
        </w:rPr>
        <w:t>年收复台湾后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在台湾设立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hAnsi="宋体" w:cs="宋体"/>
          <w:b/>
          <w:sz w:val="24"/>
        </w:rPr>
        <w:t>府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hAnsi="宋体" w:cs="宋体"/>
          <w:b/>
          <w:sz w:val="24"/>
        </w:rPr>
        <w:t>县。</w:t>
      </w:r>
      <w:r>
        <w:rPr>
          <w:rFonts w:ascii="Times New Roman" w:hAnsi="Times New Roman" w:cs="Times New Roman"/>
          <w:b/>
          <w:sz w:val="24"/>
        </w:rPr>
        <w:t>1684</w:t>
      </w:r>
      <w:r>
        <w:rPr>
          <w:rFonts w:hAnsi="宋体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清政府统一台湾后设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hAnsi="宋体" w:cs="宋体"/>
          <w:b/>
          <w:sz w:val="24"/>
        </w:rPr>
        <w:t>府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hAnsi="宋体" w:cs="宋体"/>
          <w:b/>
          <w:sz w:val="24"/>
        </w:rPr>
        <w:t>县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至</w:t>
      </w:r>
      <w:r>
        <w:rPr>
          <w:rFonts w:ascii="Times New Roman" w:hAnsi="Times New Roman" w:cs="Times New Roman"/>
          <w:b/>
          <w:sz w:val="24"/>
        </w:rPr>
        <w:t>1810</w:t>
      </w:r>
      <w:r>
        <w:rPr>
          <w:rFonts w:hAnsi="宋体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台湾府下辖有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hAnsi="宋体" w:cs="宋体"/>
          <w:b/>
          <w:sz w:val="24"/>
        </w:rPr>
        <w:t>县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hAnsi="宋体" w:cs="宋体"/>
          <w:b/>
          <w:sz w:val="24"/>
        </w:rPr>
        <w:t>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此后在台设置的县级行政机构越来越多。这可以说明清代台湾(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经济社会发展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机构改革频繁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对外交流加强　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管辖面积扩大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·辽宁大连双基</w:t>
      </w:r>
      <w:r>
        <w:rPr>
          <w:rFonts w:hAnsi="宋体" w:cs="宋体"/>
          <w:b/>
          <w:sz w:val="24"/>
        </w:rPr>
        <w:t>)程朱理学在南宋后期逐步确立统治地位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控制教育与科举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并通过</w:t>
      </w:r>
      <w:r>
        <w:rPr>
          <w:rFonts w:hint="eastAsia" w:hAnsi="宋体" w:cs="宋体"/>
          <w:b/>
          <w:sz w:val="24"/>
        </w:rPr>
        <w:t>授徒、书院讲学等方式在社会上广泛传播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甚至深入族规、家训之中。王阳明学说的传入、明朝著名学者钱德洪、陈时芳等集会开讲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听众动辄上千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樵夫、陶匠、农工商贾无不听讲。材料表明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宋明时期的儒学具有</w:t>
      </w:r>
      <w:r>
        <w:rPr>
          <w:rFonts w:hAnsi="宋体" w:cs="宋体"/>
          <w:b/>
          <w:sz w:val="24"/>
        </w:rPr>
        <w:t>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神学性　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批判性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思辨性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世俗性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14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·北京海淀区期中</w:t>
      </w:r>
      <w:r>
        <w:rPr>
          <w:rFonts w:hAnsi="宋体" w:cs="宋体"/>
          <w:b/>
          <w:sz w:val="24"/>
        </w:rPr>
        <w:t>)儒家提倡“内圣外王”。“内圣”注重道德修养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“</w:t>
      </w:r>
      <w:r>
        <w:rPr>
          <w:rFonts w:hAnsi="宋体" w:cs="宋体"/>
          <w:b/>
          <w:sz w:val="24"/>
        </w:rPr>
        <w:t>外王”注重建功立业。宋明理学片面强调“内圣”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最终走向了空谈心性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儒生们“兵农不务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即当世之刑名钱谷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亦懵然罔识”。有助于改变这一状况的是(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经世致用思想的影响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科举取士制度的形成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格物致知理论的传播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发明本心思想的提出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15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·辽宁沈阳五校联考</w:t>
      </w:r>
      <w:r>
        <w:rPr>
          <w:rFonts w:hAnsi="宋体" w:cs="宋体"/>
          <w:b/>
          <w:sz w:val="24"/>
        </w:rPr>
        <w:t>)据粗略统计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文学著作“三言”“二拍”近两百篇作品里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以市民为主人公或涉及市民的作品约七十篇。作品以如此铺张的笔墨描写“市井细民”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在中国古典文学中是罕有其匹的。这反映了(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市民文学成为主流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士大夫文学品味转变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文学的平</w:t>
      </w:r>
      <w:r>
        <w:rPr>
          <w:rFonts w:hint="eastAsia" w:hAnsi="宋体" w:cs="宋体"/>
          <w:b/>
          <w:sz w:val="24"/>
        </w:rPr>
        <w:t>民化趋势</w:t>
      </w:r>
      <w:r>
        <w:rPr>
          <w:rFonts w:hAnsi="宋体" w:cs="宋体"/>
          <w:b/>
          <w:sz w:val="24"/>
        </w:rPr>
        <w:t xml:space="preserve">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新的文学体裁的出现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16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·山东淄博摸底</w:t>
      </w:r>
      <w:r>
        <w:rPr>
          <w:rFonts w:hAnsi="宋体" w:cs="宋体"/>
          <w:b/>
          <w:sz w:val="24"/>
        </w:rPr>
        <w:t>)明代宋应星的《天工开物》按照“贵五谷而贱金玉”的思想进行顺序编排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将与人们生活相关的工农业生产放在前面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而将皇亲贵族与富绅地主关注的奢侈品生产放在后面。这一编排反映了宋应星(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重视工艺制作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强调器物的功用性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反对奢侈浪费   </w:t>
      </w:r>
      <w:r>
        <w:rPr>
          <w:rFonts w:hAnsi="宋体" w:cs="宋体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赞成重农抑商政策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二、非选择题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17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·鄂东南高三联考</w:t>
      </w:r>
      <w:r>
        <w:rPr>
          <w:rFonts w:hAnsi="宋体" w:cs="宋体"/>
          <w:b/>
          <w:sz w:val="24"/>
        </w:rPr>
        <w:t>)阅读材料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回答问题。(</w:t>
      </w:r>
      <w:r>
        <w:rPr>
          <w:rFonts w:ascii="Times New Roman" w:hAnsi="Times New Roman" w:cs="Times New Roman"/>
          <w:b/>
          <w:sz w:val="24"/>
        </w:rPr>
        <w:t>12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材料一</w:t>
      </w:r>
      <w:r>
        <w:rPr>
          <w:rFonts w:hAnsi="宋体" w:eastAsia="楷体_GB2312" w:cs="宋体"/>
          <w:b/>
          <w:sz w:val="24"/>
        </w:rPr>
        <w:t>　凡百役之费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一钱之敛</w:t>
      </w:r>
      <w:r>
        <w:rPr>
          <w:rFonts w:hAnsi="宋体" w:cs="宋体"/>
          <w:b/>
          <w:sz w:val="24"/>
        </w:rPr>
        <w:t>……</w:t>
      </w:r>
      <w:r>
        <w:rPr>
          <w:rFonts w:hAnsi="宋体" w:eastAsia="楷体_GB2312" w:cs="宋体"/>
          <w:b/>
          <w:sz w:val="24"/>
        </w:rPr>
        <w:t>户无主客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以见居为簿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人无丁中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以贫富为差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不居处而行商者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在所郡县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税三</w:t>
      </w:r>
      <w:r>
        <w:rPr>
          <w:rFonts w:hint="eastAsia" w:hAnsi="宋体" w:eastAsia="楷体_GB2312" w:cs="宋体"/>
          <w:b/>
          <w:sz w:val="24"/>
        </w:rPr>
        <w:t>十之一</w:t>
      </w:r>
      <w:r>
        <w:rPr>
          <w:rFonts w:hint="eastAsia" w:hAnsi="宋体" w:cs="宋体"/>
          <w:b/>
          <w:sz w:val="24"/>
        </w:rPr>
        <w:t>……</w:t>
      </w:r>
      <w:r>
        <w:rPr>
          <w:rFonts w:hint="eastAsia" w:hAnsi="宋体" w:eastAsia="楷体_GB2312" w:cs="宋体"/>
          <w:b/>
          <w:sz w:val="24"/>
        </w:rPr>
        <w:t>居人之税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秋夏两征之。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Ansi="宋体" w:eastAsia="仿宋_GB2312" w:cs="宋体"/>
          <w:b/>
          <w:sz w:val="24"/>
        </w:rPr>
        <w:t>——据《旧唐书》卷</w:t>
      </w:r>
      <w:r>
        <w:rPr>
          <w:rFonts w:ascii="Times New Roman" w:hAnsi="Times New Roman" w:eastAsia="仿宋_GB2312" w:cs="Times New Roman"/>
          <w:b/>
          <w:sz w:val="24"/>
        </w:rPr>
        <w:t>48</w:t>
      </w:r>
      <w:r>
        <w:rPr>
          <w:rFonts w:hAnsi="宋体" w:eastAsia="仿宋_GB2312" w:cs="宋体"/>
          <w:b/>
          <w:sz w:val="24"/>
        </w:rPr>
        <w:t>《食货上》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材料二</w:t>
      </w:r>
      <w:r>
        <w:rPr>
          <w:rFonts w:hAnsi="宋体" w:eastAsia="楷体_GB2312" w:cs="宋体"/>
          <w:b/>
          <w:sz w:val="24"/>
        </w:rPr>
        <w:t>　一条鞭法者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总括一州县之赋役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量地计丁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丁粮毕输于官。一岁之役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官为佥募。力差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则计其工食之费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量为增减；银差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则计其交纳之费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加以增耗。凡额办、派办、京库岁需与存留、供亿诸费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以及土贡方物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悉并为一条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皆计亩征银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折办于官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故谓之一条鞭。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int="eastAsia" w:hAnsi="宋体" w:eastAsia="仿宋_GB2312" w:cs="宋体"/>
          <w:b/>
          <w:sz w:val="24"/>
        </w:rPr>
        <w:t>——</w:t>
      </w:r>
      <w:r>
        <w:rPr>
          <w:rFonts w:hAnsi="宋体" w:eastAsia="仿宋_GB2312" w:cs="宋体"/>
          <w:b/>
          <w:sz w:val="24"/>
        </w:rPr>
        <w:t>据《明史·食货志》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材料三</w:t>
      </w:r>
      <w:r>
        <w:rPr>
          <w:rFonts w:hAnsi="宋体" w:eastAsia="楷体_GB2312" w:cs="宋体"/>
          <w:b/>
          <w:sz w:val="24"/>
        </w:rPr>
        <w:t>　雍正元年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楷体_GB2312" w:cs="Times New Roman"/>
          <w:b/>
          <w:sz w:val="24"/>
        </w:rPr>
        <w:t>1723</w:t>
      </w:r>
      <w:r>
        <w:rPr>
          <w:rFonts w:hAnsi="宋体" w:eastAsia="楷体_GB2312" w:cs="宋体"/>
          <w:b/>
          <w:sz w:val="24"/>
        </w:rPr>
        <w:t>年</w:t>
      </w:r>
      <w:r>
        <w:rPr>
          <w:rFonts w:hAnsi="宋体" w:cs="宋体"/>
          <w:b/>
          <w:sz w:val="24"/>
        </w:rPr>
        <w:t>)</w:t>
      </w:r>
      <w:r>
        <w:rPr>
          <w:rFonts w:hAnsi="宋体" w:eastAsia="楷体_GB2312" w:cs="宋体"/>
          <w:b/>
          <w:sz w:val="24"/>
        </w:rPr>
        <w:t>开始普遍推行</w:t>
      </w:r>
      <w:r>
        <w:rPr>
          <w:rFonts w:hAnsi="宋体" w:cs="宋体"/>
          <w:b/>
          <w:sz w:val="24"/>
        </w:rPr>
        <w:t>“</w:t>
      </w:r>
      <w:r>
        <w:rPr>
          <w:rFonts w:hint="eastAsia" w:hAnsi="宋体" w:eastAsia="楷体_GB2312" w:cs="宋体"/>
          <w:b/>
          <w:sz w:val="24"/>
        </w:rPr>
        <w:t>摊丁入亩</w:t>
      </w:r>
      <w:r>
        <w:rPr>
          <w:rFonts w:hint="eastAsia" w:hAnsi="宋体" w:cs="宋体"/>
          <w:b/>
          <w:sz w:val="24"/>
        </w:rPr>
        <w:t>”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把固定下来的丁税平均摊入田赋中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征收统一的地丁银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不再以人为对象征收丁税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放松对户籍的控制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以减轻贫民疾苦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稳定社会秩序、稳定财政收入。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Ansi="宋体" w:eastAsia="仿宋_GB2312" w:cs="宋体"/>
          <w:b/>
          <w:sz w:val="24"/>
        </w:rPr>
        <w:t>——摘编自中国社会科学院历史研究所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Ansi="宋体" w:eastAsia="仿宋_GB2312" w:cs="宋体"/>
          <w:b/>
          <w:sz w:val="24"/>
        </w:rPr>
        <w:t>清史研究室《清史论丛》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hAnsi="宋体" w:cs="宋体"/>
          <w:b/>
          <w:sz w:val="24"/>
        </w:rPr>
        <w:t>)根据材料并结合所学知识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概括三个赋役制度演变的基本趋势。(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hAnsi="宋体" w:cs="宋体"/>
          <w:b/>
          <w:sz w:val="24"/>
        </w:rPr>
        <w:t>)根据材料并结合所学知识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简要评价中国古代赋役制度的演变。(</w:t>
      </w:r>
      <w:r>
        <w:rPr>
          <w:rFonts w:ascii="Times New Roman" w:hAnsi="Times New Roman" w:cs="Times New Roman"/>
          <w:b/>
          <w:sz w:val="24"/>
        </w:rPr>
        <w:t>8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18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·广东广州模拟</w:t>
      </w:r>
      <w:r>
        <w:rPr>
          <w:rFonts w:hAnsi="宋体" w:cs="宋体"/>
          <w:b/>
          <w:sz w:val="24"/>
        </w:rPr>
        <w:t>)阅读材料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回答问题。(</w:t>
      </w:r>
      <w:r>
        <w:rPr>
          <w:rFonts w:ascii="Times New Roman" w:hAnsi="Times New Roman" w:cs="Times New Roman"/>
          <w:b/>
          <w:sz w:val="24"/>
        </w:rPr>
        <w:t>14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</w:t>
      </w:r>
      <w:r>
        <w:rPr>
          <w:rFonts w:hAnsi="宋体" w:eastAsia="楷体_GB2312" w:cs="宋体"/>
          <w:b/>
          <w:sz w:val="24"/>
        </w:rPr>
        <w:t>　清朝前期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在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修其教而不易其俗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齐其政而不易其宜</w:t>
      </w:r>
      <w:r>
        <w:rPr>
          <w:rFonts w:hAnsi="宋体" w:cs="宋体"/>
          <w:b/>
          <w:sz w:val="24"/>
        </w:rPr>
        <w:t>”</w:t>
      </w:r>
      <w:r>
        <w:rPr>
          <w:rFonts w:hAnsi="宋体" w:eastAsia="楷体_GB2312" w:cs="宋体"/>
          <w:b/>
          <w:sz w:val="24"/>
        </w:rPr>
        <w:t>思想指导下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根据边疆与内地的不同情况采取了不同的治理方式。在新疆实行政教分离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基地大臣只管军事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日常民事大多交由少数民族上</w:t>
      </w:r>
      <w:r>
        <w:rPr>
          <w:rFonts w:hint="eastAsia" w:hAnsi="宋体" w:eastAsia="楷体_GB2312" w:cs="宋体"/>
          <w:b/>
          <w:sz w:val="24"/>
        </w:rPr>
        <w:t>层管理；在东北地区设立盛京将军、吉林将军、黑龙江将军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实行以军事统辖为主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兼具地方、民族特色的多元管理模式；在蒙古地区吸收八旗制度、蒙古草原会盟的习俗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建立盟旗制度。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1840</w:t>
      </w:r>
      <w:r>
        <w:rPr>
          <w:rFonts w:hAnsi="宋体" w:eastAsia="楷体_GB2312" w:cs="宋体"/>
          <w:b/>
          <w:sz w:val="24"/>
        </w:rPr>
        <w:t>年后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由于国际和国内形势的剧烈变动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清政府不得不改变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因俗而治</w:t>
      </w:r>
      <w:r>
        <w:rPr>
          <w:rFonts w:hAnsi="宋体" w:cs="宋体"/>
          <w:b/>
          <w:sz w:val="24"/>
        </w:rPr>
        <w:t>”</w:t>
      </w:r>
      <w:r>
        <w:rPr>
          <w:rFonts w:hAnsi="宋体" w:eastAsia="楷体_GB2312" w:cs="宋体"/>
          <w:b/>
          <w:sz w:val="24"/>
        </w:rPr>
        <w:t>的传统政策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重构对边疆的统治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开展了边疆建省运动。</w:t>
      </w:r>
      <w:r>
        <w:rPr>
          <w:rFonts w:ascii="Times New Roman" w:hAnsi="Times New Roman" w:eastAsia="楷体_GB2312" w:cs="Times New Roman"/>
          <w:b/>
          <w:sz w:val="24"/>
        </w:rPr>
        <w:t>1884</w:t>
      </w:r>
      <w:r>
        <w:rPr>
          <w:rFonts w:hAnsi="宋体" w:eastAsia="楷体_GB2312" w:cs="宋体"/>
          <w:b/>
          <w:sz w:val="24"/>
        </w:rPr>
        <w:t>年设新疆行省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实行屯田、移民实边等措施发展生产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加强边防建设。</w:t>
      </w:r>
      <w:r>
        <w:rPr>
          <w:rFonts w:ascii="Times New Roman" w:hAnsi="Times New Roman" w:eastAsia="楷体_GB2312" w:cs="Times New Roman"/>
          <w:b/>
          <w:sz w:val="24"/>
        </w:rPr>
        <w:t>1885</w:t>
      </w:r>
      <w:r>
        <w:rPr>
          <w:rFonts w:hAnsi="宋体" w:eastAsia="楷体_GB2312" w:cs="宋体"/>
          <w:b/>
          <w:sz w:val="24"/>
        </w:rPr>
        <w:t>年设台湾行省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采取了发展邮电、修筑铁路等一系列措施以加强建设。</w:t>
      </w:r>
      <w:r>
        <w:rPr>
          <w:rFonts w:ascii="Times New Roman" w:hAnsi="Times New Roman" w:eastAsia="楷体_GB2312" w:cs="Times New Roman"/>
          <w:b/>
          <w:sz w:val="24"/>
        </w:rPr>
        <w:t>1907</w:t>
      </w:r>
      <w:r>
        <w:rPr>
          <w:rFonts w:hAnsi="宋体" w:eastAsia="楷体_GB2312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清政府任命徐世昌为东北三省总督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黑龙江省、吉林省、奉天省各设巡抚一名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在东北采取移民实边、开商埠、借国债、修铁路等一系列措施。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both"/>
        <w:rPr>
          <w:rFonts w:hint="eastAsia" w:hAnsi="宋体" w:cs="MingLiU_HKSCS"/>
          <w:b/>
          <w:sz w:val="24"/>
        </w:rPr>
      </w:pPr>
      <w:r>
        <w:rPr>
          <w:rFonts w:hAnsi="宋体" w:eastAsia="仿宋_GB2312" w:cs="宋体"/>
          <w:b/>
          <w:sz w:val="24"/>
        </w:rPr>
        <w:t>——据陈跃《</w:t>
      </w:r>
      <w:r>
        <w:rPr>
          <w:rFonts w:hAnsi="宋体" w:cs="宋体"/>
          <w:b/>
          <w:sz w:val="24"/>
        </w:rPr>
        <w:t>“</w:t>
      </w:r>
      <w:r>
        <w:rPr>
          <w:rFonts w:hAnsi="宋体" w:eastAsia="仿宋_GB2312" w:cs="宋体"/>
          <w:b/>
          <w:sz w:val="24"/>
        </w:rPr>
        <w:t>因俗而治</w:t>
      </w:r>
      <w:r>
        <w:rPr>
          <w:rFonts w:hAnsi="宋体" w:cs="宋体"/>
          <w:b/>
          <w:sz w:val="24"/>
        </w:rPr>
        <w:t>”</w:t>
      </w:r>
      <w:r>
        <w:rPr>
          <w:rFonts w:hAnsi="宋体" w:eastAsia="仿宋_GB2312" w:cs="宋体"/>
          <w:b/>
          <w:sz w:val="24"/>
        </w:rPr>
        <w:t>与边疆内地一体化——中国古代王朝治边政策的双重变奏》等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根据材料并结合所学知识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评述清朝的边疆治理政策。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19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·山东济南针对性训练</w:t>
      </w:r>
      <w:r>
        <w:rPr>
          <w:rFonts w:hAnsi="宋体" w:cs="宋体"/>
          <w:b/>
          <w:sz w:val="24"/>
        </w:rPr>
        <w:t>)下面是明朝前期部分</w:t>
      </w:r>
      <w:r>
        <w:rPr>
          <w:rFonts w:hint="eastAsia" w:hAnsi="宋体" w:cs="宋体"/>
          <w:b/>
          <w:sz w:val="24"/>
        </w:rPr>
        <w:t>进口货物交易情况统计表。阅读材料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回答问题。(</w:t>
      </w:r>
      <w:r>
        <w:rPr>
          <w:rFonts w:ascii="Times New Roman" w:hAnsi="Times New Roman" w:cs="Times New Roman"/>
          <w:b/>
          <w:sz w:val="24"/>
        </w:rPr>
        <w:t>14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4"/>
        <w:gridCol w:w="1415"/>
        <w:gridCol w:w="1263"/>
        <w:gridCol w:w="1415"/>
        <w:gridCol w:w="1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货物名称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苏木</w:t>
            </w:r>
          </w:p>
        </w:tc>
        <w:tc>
          <w:tcPr>
            <w:tcW w:w="74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胡椒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乌木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檀香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计量单位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斤</w:t>
            </w:r>
          </w:p>
        </w:tc>
        <w:tc>
          <w:tcPr>
            <w:tcW w:w="74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斤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斤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规定价格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500</w:t>
            </w:r>
            <w:r>
              <w:rPr>
                <w:rFonts w:hAnsi="宋体" w:cs="宋体"/>
                <w:b/>
                <w:sz w:val="24"/>
              </w:rPr>
              <w:t>文</w:t>
            </w:r>
          </w:p>
        </w:tc>
        <w:tc>
          <w:tcPr>
            <w:tcW w:w="74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500</w:t>
            </w:r>
            <w:r>
              <w:rPr>
                <w:rFonts w:hAnsi="宋体" w:cs="宋体"/>
                <w:b/>
                <w:sz w:val="24"/>
              </w:rPr>
              <w:t>文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500</w:t>
            </w:r>
            <w:r>
              <w:rPr>
                <w:rFonts w:hAnsi="宋体" w:cs="宋体"/>
                <w:b/>
                <w:sz w:val="24"/>
              </w:rPr>
              <w:t>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与琉球贸易价格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  <w:tc>
          <w:tcPr>
            <w:tcW w:w="74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30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—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与暹罗贸易价格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  <w:tc>
          <w:tcPr>
            <w:tcW w:w="74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40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与满剌加贸易价格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  <w:tc>
          <w:tcPr>
            <w:tcW w:w="74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40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  <w:r>
              <w:rPr>
                <w:rFonts w:hAnsi="宋体" w:cs="宋体"/>
                <w:b/>
                <w:sz w:val="24"/>
              </w:rPr>
              <w:t>贯</w:t>
            </w:r>
          </w:p>
        </w:tc>
        <w:tc>
          <w:tcPr>
            <w:tcW w:w="83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—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注</w:t>
      </w:r>
      <w:r>
        <w:rPr>
          <w:rFonts w:hAnsi="宋体" w:eastAsia="楷体_GB2312" w:cs="宋体"/>
          <w:b/>
          <w:sz w:val="24"/>
        </w:rPr>
        <w:t>：</w:t>
      </w:r>
      <w:r>
        <w:rPr>
          <w:rFonts w:ascii="Times New Roman" w:hAnsi="Times New Roman" w:eastAsia="楷体_GB2312" w:cs="Times New Roman"/>
          <w:b/>
          <w:sz w:val="24"/>
        </w:rPr>
        <w:t>1</w:t>
      </w:r>
      <w:r>
        <w:rPr>
          <w:rFonts w:hAnsi="宋体" w:eastAsia="楷体_GB2312" w:cs="宋体"/>
          <w:b/>
          <w:sz w:val="24"/>
        </w:rPr>
        <w:t>贯＝</w:t>
      </w:r>
      <w:r>
        <w:rPr>
          <w:rFonts w:ascii="Times New Roman" w:hAnsi="Times New Roman" w:eastAsia="楷体_GB2312" w:cs="Times New Roman"/>
          <w:b/>
          <w:sz w:val="24"/>
        </w:rPr>
        <w:t>1</w:t>
      </w:r>
      <w:r>
        <w:rPr>
          <w:rFonts w:hAnsi="宋体" w:eastAsia="楷体_GB2312" w:cs="宋体"/>
          <w:b/>
          <w:sz w:val="24"/>
        </w:rPr>
        <w:t xml:space="preserve"> </w:t>
      </w:r>
      <w:r>
        <w:rPr>
          <w:rFonts w:ascii="Times New Roman" w:hAnsi="Times New Roman" w:eastAsia="楷体_GB2312" w:cs="Times New Roman"/>
          <w:b/>
          <w:sz w:val="24"/>
        </w:rPr>
        <w:t>000</w:t>
      </w:r>
      <w:r>
        <w:rPr>
          <w:rFonts w:hAnsi="宋体" w:eastAsia="楷体_GB2312" w:cs="宋体"/>
          <w:b/>
          <w:sz w:val="24"/>
        </w:rPr>
        <w:t>文；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—</w:t>
      </w:r>
      <w:r>
        <w:rPr>
          <w:rFonts w:hAnsi="宋体" w:cs="宋体"/>
          <w:b/>
          <w:sz w:val="24"/>
        </w:rPr>
        <w:t>”</w:t>
      </w:r>
      <w:r>
        <w:rPr>
          <w:rFonts w:hAnsi="宋体" w:eastAsia="楷体_GB2312" w:cs="宋体"/>
          <w:b/>
          <w:sz w:val="24"/>
        </w:rPr>
        <w:t>表示数据缺失。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int="eastAsia" w:hAnsi="宋体" w:eastAsia="仿宋_GB2312" w:cs="宋体"/>
          <w:b/>
          <w:sz w:val="24"/>
        </w:rPr>
        <w:t>——</w:t>
      </w:r>
      <w:r>
        <w:rPr>
          <w:rFonts w:hAnsi="宋体" w:eastAsia="仿宋_GB2312" w:cs="宋体"/>
          <w:b/>
          <w:sz w:val="24"/>
        </w:rPr>
        <w:t>据陈尚胜《开放与闭关·中国封建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Ansi="宋体" w:eastAsia="仿宋_GB2312" w:cs="宋体"/>
          <w:b/>
          <w:sz w:val="24"/>
        </w:rPr>
        <w:t>晚期对外关系研究》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对上表中数据反映的历史现象进行合理的</w:t>
      </w:r>
      <w:r>
        <w:rPr>
          <w:rFonts w:ascii="黑体" w:hAnsi="黑体" w:eastAsia="黑体" w:cs="宋体"/>
          <w:b/>
          <w:sz w:val="24"/>
        </w:rPr>
        <w:t>历史解释</w:t>
      </w:r>
      <w:r>
        <w:rPr>
          <w:rFonts w:hAnsi="宋体" w:cs="宋体"/>
          <w:b/>
          <w:sz w:val="24"/>
        </w:rPr>
        <w:t>。(要求：表述成文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观点明确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论证充分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逻辑清晰)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·山东烟台诊断</w:t>
      </w:r>
      <w:r>
        <w:rPr>
          <w:rFonts w:hAnsi="宋体" w:cs="宋体"/>
          <w:b/>
          <w:sz w:val="24"/>
        </w:rPr>
        <w:t>)明代小说空前繁荣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小说</w:t>
      </w:r>
      <w:r>
        <w:rPr>
          <w:rFonts w:hint="eastAsia" w:hAnsi="宋体" w:cs="宋体"/>
          <w:b/>
          <w:sz w:val="24"/>
        </w:rPr>
        <w:t>中的“异国印象”也蔚然可观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极富时代特征。阅读材料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回答问题。(</w:t>
      </w:r>
      <w:r>
        <w:rPr>
          <w:rFonts w:ascii="Times New Roman" w:hAnsi="Times New Roman" w:cs="Times New Roman"/>
          <w:b/>
          <w:sz w:val="24"/>
        </w:rPr>
        <w:t>12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934"/>
        <w:gridCol w:w="2056"/>
        <w:gridCol w:w="3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书名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异国举隅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故事情节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细节摘编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《西游记·比丘国救子》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比丘国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唐僧师徒西天取经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比丘国救助群童的故事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(比丘国国王听信国师谗言)用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hAnsi="宋体" w:cs="宋体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111</w:t>
            </w:r>
            <w:r>
              <w:rPr>
                <w:rFonts w:hAnsi="宋体" w:cs="宋体"/>
                <w:b/>
                <w:sz w:val="24"/>
              </w:rPr>
              <w:t>个小孩的心肝做药引……谁家不爱自己的孩子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可是都怕国王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连哭都不敢哭了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《初刻拍案惊</w:t>
            </w:r>
            <w:r>
              <w:rPr>
                <w:rFonts w:hint="eastAsia" w:hAnsi="宋体" w:cs="宋体"/>
                <w:b/>
                <w:sz w:val="24"/>
              </w:rPr>
              <w:t>奇·转运汉遇巧洞庭红》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吉零国、波斯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文若虚国内经商破产后出海贸易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异国奇遇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一夜暴富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(吉零国捡到龟壳)每肋中间节内有大珠一颗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乃无价宝也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《喻世明言·杨八老越国奇逢》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日本国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杨八老因倭患遭遇离乱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在日本生活十多年后与亲人团聚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人人胆丧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尽愁海寇恁猖狂……劫火遍村落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血流成污池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《警世通言·李谪仙醉草吓蛮书》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渤海国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李白天纵奇才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纸笔之功吓退渤海使臣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(李白)：尔海外小邦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高丽附国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比之中国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不过一郡……渤海使臣面如土色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愿年年进贡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hAnsi="宋体" w:cs="宋体"/>
          <w:b/>
          <w:sz w:val="24"/>
        </w:rPr>
        <w:t>)依据材料概括明代</w:t>
      </w:r>
      <w:r>
        <w:rPr>
          <w:rFonts w:hint="eastAsia" w:hAnsi="宋体" w:cs="宋体"/>
          <w:b/>
          <w:sz w:val="24"/>
        </w:rPr>
        <w:t>小说中的“异国印象”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并指出其所影射的社会现实。(</w:t>
      </w:r>
      <w:r>
        <w:rPr>
          <w:rFonts w:ascii="Times New Roman" w:hAnsi="Times New Roman" w:cs="Times New Roman"/>
          <w:b/>
          <w:sz w:val="24"/>
        </w:rPr>
        <w:t>8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hAnsi="宋体" w:cs="宋体"/>
          <w:b/>
          <w:sz w:val="24"/>
        </w:rPr>
        <w:t>)如何认识文学作品的史学价值？(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hAnsi="宋体" w:cs="宋体"/>
          <w:b/>
          <w:sz w:val="24"/>
        </w:rPr>
        <w:t>分)</w:t>
      </w:r>
    </w:p>
    <w:p>
      <w:pPr>
        <w:tabs>
          <w:tab w:val="left" w:pos="4139"/>
        </w:tabs>
        <w:snapToGrid w:val="0"/>
        <w:spacing w:line="360" w:lineRule="auto"/>
        <w:rPr>
          <w:rFonts w:hint="eastAsia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g4ZTc0ZTE1Y2JjNWEwZDA2ODcxZmNhZTAxZGM1NmIifQ=="/>
  </w:docVars>
  <w:rsids>
    <w:rsidRoot w:val="00794BAC"/>
    <w:rsid w:val="00060EEF"/>
    <w:rsid w:val="000A3D37"/>
    <w:rsid w:val="000D3DCD"/>
    <w:rsid w:val="00197923"/>
    <w:rsid w:val="004151FC"/>
    <w:rsid w:val="005105B8"/>
    <w:rsid w:val="00514C92"/>
    <w:rsid w:val="00557976"/>
    <w:rsid w:val="00794BAC"/>
    <w:rsid w:val="00873B98"/>
    <w:rsid w:val="008F1728"/>
    <w:rsid w:val="009C72CF"/>
    <w:rsid w:val="00AE71B4"/>
    <w:rsid w:val="00B3210F"/>
    <w:rsid w:val="00C02FC6"/>
    <w:rsid w:val="22932909"/>
    <w:rsid w:val="2DDC5296"/>
    <w:rsid w:val="357000AA"/>
    <w:rsid w:val="554C61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3918</Words>
  <Characters>4088</Characters>
  <Lines>70</Lines>
  <Paragraphs>19</Paragraphs>
  <TotalTime>0</TotalTime>
  <ScaleCrop>false</ScaleCrop>
  <LinksUpToDate>false</LinksUpToDate>
  <CharactersWithSpaces>4196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2022-01-09T02:33:00Z</dcterms:created>
  <dc:creator>Windows 用户</dc:creator>
  <cp:lastModifiedBy>abc</cp:lastModifiedBy>
  <dcterms:modified xsi:type="dcterms:W3CDTF">2022-11-30T23:27:59Z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AF4CF16F760B44E7BE26291AA450EC7F</vt:lpwstr>
  </property>
</Properties>
</file>